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sz w:val="28"/>
          <w:szCs w:val="28"/>
          <w:lang w:val="en-US"/>
        </w:rPr>
      </w:pPr>
      <w:r>
        <w:rPr>
          <w:rFonts w:hint="eastAsia" w:ascii="等线" w:hAnsi="等线" w:eastAsia="等线" w:cs="Times New Roman"/>
          <w:kern w:val="2"/>
          <w:sz w:val="28"/>
          <w:szCs w:val="28"/>
          <w:lang w:val="en-US" w:eastAsia="zh-CN" w:bidi="ar"/>
        </w:rPr>
        <w:t>跨境电商与国际物流：机遇、模式及运作读书笔记三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4"/>
          <w:szCs w:val="24"/>
          <w:lang w:val="en-US"/>
        </w:rPr>
      </w:pP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"/>
        </w:rPr>
        <w:t>第三章 进口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szCs w:val="21"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1"/>
          <w:lang w:val="en-US" w:eastAsia="zh-CN" w:bidi="ar"/>
        </w:rPr>
        <w:t>3.1跨境进口的驱动力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1"/>
          <w:lang w:val="en-US" w:eastAsia="zh-CN" w:bidi="ar"/>
        </w:rPr>
        <w:t xml:space="preserve">  </w:t>
      </w: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 xml:space="preserve"> 需求是市场的第一驱动力。国内供求不能满足需求，屡遭质疑的食品安全和假货问题，国际品牌定价歧视和中国较高的关税及流转税，以及居民收入的提高，消费升级拉动对海外高附加值及多样化商品的需求。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需求驱动：一是产品质量，消费意识提升，出于对安全健康、正品保障等的担心，信任危机迫使了消费者的海淘进程；二是消费能力提高，追求品质消费；三是价格差，由于国外品牌进口后在中国零售的价格显著高于在海外的购买价，即使考虑海淘的行邮税和物流费用，价格优势依然明显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政策驱动：一是渠道合法化，政策明朗化后大量跨境电商进口商悉数登场，实现政策引导市场手段刺激产业结构升级；二是降税，降低部分消费品进口关税，以及拆单避税等合法技巧的运用，对供需双方刺激都很大；三是电子化通关，实现全程信息的可视、可溯、可控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szCs w:val="21"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1"/>
          <w:lang w:val="en-US" w:eastAsia="zh-CN" w:bidi="ar"/>
        </w:rPr>
        <w:t>3.2进口2C主流模式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完税直销：正常通关、商检、缴税入境的一般贸易进口；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海淘及转运：海淘主要指境外网购B2C模式，转运可以买遍全球而不受网站国际运输条款的约束；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代购与海外买手：代购在跨境电商中具有很强的灵活性，能及时发现国内外价差、新品及促销等信息，海淘买手逐渐开始团队化运作，专业化经营，并且对选品能力、资金沉淀能力等都提出了更高的要求。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szCs w:val="21"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1"/>
          <w:lang w:val="en-US" w:eastAsia="zh-CN" w:bidi="ar"/>
        </w:rPr>
        <w:t>3.3进口电商格局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 xml:space="preserve">先行者：买手大军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中小微商及分销商专注单一区域或品类，依靠第三方平台入驻，毛利走低只为营生，但他们对消费者及培育跨境市场起到关键作用。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 xml:space="preserve">探路者：独立自营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投入成本较大，多出于对供应链的掌控需要，马拉松式持久跟跑贵在掌控节奏。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 xml:space="preserve">领跑者：境外平台与品牌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境外品牌网店和电商平台都是站在行业需求的制高点，商品是他们的第一优势，把握方向最重要。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主导者：零售与平台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淘宝、京东、苏宁等国内电商巨头，采取不同形式涉水跨境电商，以维系现有的江湖地位，不求最快但求最稳。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颠覆者：创业帮派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创业公司经不起长时间消耗，对零售这一最强调规模效应的商业领域，新进入者的门槛极高，要做颠覆者，必然要舍生忘死只求一搏。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szCs w:val="21"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1"/>
          <w:lang w:val="en-US" w:eastAsia="zh-CN" w:bidi="ar"/>
        </w:rPr>
        <w:t>3.4进口通关便利化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中国海关正在全力实施《海关全面深化改革总体方案》，预期在2020年完成，届时货物通关将更加便捷高效，目前，国内已经实施京津冀、长江经济带、东北地区、丝路经济带、泛珠江三角洲区域通关一体化。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szCs w:val="21"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1"/>
          <w:lang w:val="en-US" w:eastAsia="zh-CN" w:bidi="ar"/>
        </w:rPr>
        <w:t>3.5物流渠道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邮政国际邮件的几大突出优势：广泛性、安全性、报关手续简单、低税。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商业快件直邮第一优势就是快，但价格也远高于邮政和华人转运，国际段运输起重、续重计价高，市场使用率不高。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集货与转运：目前流行，性价比优于纯国际快递，突破了传统模式，是一个组合形态。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保税仓：使用跨境电商包税进口BBC模式，可以极大地改善跨境网购的速度和体验，适合规模经营，实力较为兄获得跨境平台趁机扩张，成为获取市场份额的重要手段。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szCs w:val="21"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1"/>
          <w:lang w:val="en-US" w:eastAsia="zh-CN" w:bidi="ar"/>
        </w:rPr>
        <w:t>3.6进口供应链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进口跨境电商已步入全产业链竞争时代，对各环节资源把控能力的要求不断提高，但核心仍然是商品。跨境电商进口的供应链模式太重，运作链条太长，所需资源和异常情况太多。压力仍然是资金链，电商平台一旦结算周期拉长或滞销，则会被压货贷款。打造稳固的供应链，就攥住了跨境电商进口的七寸之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szCs w:val="21"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1"/>
          <w:lang w:val="en-US" w:eastAsia="zh-CN" w:bidi="ar"/>
        </w:rPr>
        <w:t>3.7跨境进口试点城市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在国家开启跨境电商试点后，对进口的刺激远大于出口，被长期禁锢的进口渠道一片沸腾，甚至社会上不少人认为跨境电商就是进口。各大试点城市纷纷扩建保税仓、扩编跨境园区，并趁着筑巢引凤的契机，号召各大品牌电商企业、物流企业几个大零售商品企业入驻，一时呈现出非理性繁荣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szCs w:val="21"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1"/>
          <w:lang w:val="en-US" w:eastAsia="zh-CN" w:bidi="ar"/>
        </w:rPr>
        <w:t>3.8行业动向总结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对进口跨境电商而言，政策、市场、运作、融资为四大险情，任何一险足以置之毁于旦夕。</w:t>
      </w: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6FB1161E"/>
    <w:rsid w:val="6FB1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2022-12-05T06:40:00Z</dcterms:created>
  <dc:creator>WPS_1601824356</dc:creator>
  <cp:lastModifiedBy>WPS_1601824356</cp:lastModifiedBy>
  <dcterms:modified xsi:type="dcterms:W3CDTF">2022-12-05T06:44:18Z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9B6B418430A646F38D90971696E0D2F6</vt:lpwstr>
  </property>
</Properties>
</file>